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F5B1" w14:textId="4E574F56" w:rsidR="008403BD" w:rsidRPr="008163A9" w:rsidRDefault="006A3C08" w:rsidP="00840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/>
        <w:ind w:right="-1"/>
        <w:jc w:val="center"/>
        <w:rPr>
          <w:rFonts w:ascii="Trebuchet MS" w:hAnsi="Trebuchet MS"/>
          <w:b/>
          <w:i/>
          <w:color w:val="FF0000"/>
          <w:sz w:val="36"/>
          <w:szCs w:val="36"/>
        </w:rPr>
      </w:pPr>
      <w:r w:rsidRPr="008163A9">
        <w:rPr>
          <w:rFonts w:ascii="Trebuchet MS" w:hAnsi="Trebuchet MS"/>
          <w:b/>
          <w:sz w:val="36"/>
          <w:szCs w:val="36"/>
        </w:rPr>
        <w:t xml:space="preserve">SCHEDA </w:t>
      </w:r>
      <w:r w:rsidR="008403BD" w:rsidRPr="008163A9">
        <w:rPr>
          <w:rFonts w:ascii="Trebuchet MS" w:hAnsi="Trebuchet MS"/>
          <w:b/>
          <w:i/>
          <w:color w:val="FF0000"/>
          <w:sz w:val="36"/>
          <w:szCs w:val="36"/>
        </w:rPr>
        <w:t>INCONTRI</w:t>
      </w:r>
      <w:r w:rsidR="008163A9" w:rsidRPr="008163A9">
        <w:rPr>
          <w:rFonts w:ascii="Trebuchet MS" w:hAnsi="Trebuchet MS"/>
          <w:b/>
          <w:i/>
          <w:color w:val="FF0000"/>
          <w:sz w:val="36"/>
          <w:szCs w:val="36"/>
        </w:rPr>
        <w:t xml:space="preserve"> ON</w:t>
      </w:r>
      <w:r w:rsidR="008403BD" w:rsidRPr="008163A9">
        <w:rPr>
          <w:rFonts w:ascii="Trebuchet MS" w:hAnsi="Trebuchet MS"/>
          <w:b/>
          <w:i/>
          <w:color w:val="FF0000"/>
          <w:sz w:val="36"/>
          <w:szCs w:val="36"/>
        </w:rPr>
        <w:t xml:space="preserve"> LINE</w:t>
      </w:r>
    </w:p>
    <w:p w14:paraId="74B9636D" w14:textId="0B6F83E9" w:rsidR="006A3C08" w:rsidRPr="006A3C08" w:rsidRDefault="006A3C08" w:rsidP="006A3C08">
      <w:pPr>
        <w:spacing w:before="70"/>
        <w:ind w:right="-1"/>
        <w:jc w:val="center"/>
        <w:rPr>
          <w:rFonts w:ascii="Trebuchet MS" w:hAnsi="Trebuchet MS"/>
          <w:b/>
          <w:sz w:val="32"/>
        </w:rPr>
      </w:pPr>
      <w:bookmarkStart w:id="0" w:name="_GoBack"/>
      <w:bookmarkEnd w:id="0"/>
      <w:r w:rsidRPr="006A3C08">
        <w:rPr>
          <w:rFonts w:ascii="Trebuchet MS" w:hAnsi="Trebuchet MS"/>
          <w:b/>
          <w:sz w:val="32"/>
        </w:rPr>
        <w:t>TERZA TAPPA</w:t>
      </w:r>
    </w:p>
    <w:p w14:paraId="07284B28" w14:textId="77777777" w:rsidR="006A3C08" w:rsidRDefault="006A3C08" w:rsidP="006A3C08">
      <w:pPr>
        <w:spacing w:before="19"/>
        <w:ind w:left="2792" w:right="2801"/>
        <w:jc w:val="center"/>
        <w:rPr>
          <w:rFonts w:ascii="Trebuchet MS" w:hAnsi="Trebuchet MS"/>
          <w:b/>
          <w:i/>
          <w:sz w:val="40"/>
        </w:rPr>
      </w:pPr>
      <w:r w:rsidRPr="006A3C08">
        <w:rPr>
          <w:rFonts w:ascii="Trebuchet MS" w:hAnsi="Trebuchet MS"/>
          <w:b/>
          <w:i/>
          <w:sz w:val="40"/>
        </w:rPr>
        <w:t>ABBRACCIARE</w:t>
      </w:r>
    </w:p>
    <w:p w14:paraId="3BD253CA" w14:textId="77777777" w:rsidR="00F21DE0" w:rsidRPr="006A3C08" w:rsidRDefault="00F21DE0" w:rsidP="00F21DE0">
      <w:pPr>
        <w:spacing w:after="0" w:line="240" w:lineRule="auto"/>
        <w:jc w:val="center"/>
        <w:rPr>
          <w:rFonts w:ascii="Trebuchet MS" w:eastAsia="Times New Roman" w:hAnsi="Trebuchet MS" w:cs="Segoe UI"/>
          <w:b/>
          <w:bCs/>
          <w:color w:val="000000"/>
          <w:sz w:val="20"/>
          <w:szCs w:val="20"/>
          <w:lang w:eastAsia="it-IT"/>
        </w:rPr>
      </w:pPr>
    </w:p>
    <w:p w14:paraId="4A8E9DC0" w14:textId="155D09B9" w:rsidR="002B3FCF" w:rsidRPr="006A3C08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i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b/>
          <w:i/>
          <w:color w:val="000000"/>
          <w:sz w:val="24"/>
          <w:szCs w:val="24"/>
          <w:lang w:eastAsia="it-IT"/>
        </w:rPr>
        <w:t>PREMESSA</w:t>
      </w:r>
    </w:p>
    <w:p w14:paraId="6B9384DD" w14:textId="77777777" w:rsidR="006A3C08" w:rsidRPr="006A3C08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color w:val="000000"/>
          <w:sz w:val="8"/>
          <w:szCs w:val="8"/>
          <w:lang w:eastAsia="it-IT"/>
        </w:rPr>
      </w:pPr>
    </w:p>
    <w:p w14:paraId="5D3F0D79" w14:textId="38CF8380" w:rsidR="002B3FCF" w:rsidRPr="006A3C08" w:rsidRDefault="002B3FCF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La proposta segue quanto riportato nel testo da pag. 79 a pag. 93. Qui sono indicati solo i passaggi che, per un incontro di gruppo on line, necessariamente differiscono dal test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scritto.</w:t>
      </w:r>
    </w:p>
    <w:p w14:paraId="5FC18D37" w14:textId="1F536820" w:rsidR="002B3FCF" w:rsidRDefault="002B3FCF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0"/>
          <w:szCs w:val="20"/>
          <w:lang w:eastAsia="it-IT"/>
        </w:rPr>
      </w:pPr>
    </w:p>
    <w:p w14:paraId="10F68D0E" w14:textId="77777777" w:rsidR="006A3C08" w:rsidRPr="006A3C08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0"/>
          <w:szCs w:val="20"/>
          <w:lang w:eastAsia="it-IT"/>
        </w:rPr>
      </w:pPr>
    </w:p>
    <w:p w14:paraId="3EF1280D" w14:textId="5D8E100D" w:rsidR="00F21DE0" w:rsidRPr="006A3C08" w:rsidRDefault="006A3C08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0"/>
          <w:szCs w:val="20"/>
          <w:lang w:eastAsia="it-IT"/>
        </w:rPr>
      </w:pP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LA VITA SI RACCONTA</w:t>
      </w:r>
      <w:r w:rsidR="002B3FCF" w:rsidRPr="006A3C08">
        <w:rPr>
          <w:rFonts w:ascii="Trebuchet MS" w:eastAsia="Times New Roman" w:hAnsi="Trebuchet MS" w:cs="Segoe UI"/>
          <w:color w:val="000000"/>
          <w:sz w:val="28"/>
          <w:szCs w:val="28"/>
          <w:lang w:eastAsia="it-IT"/>
        </w:rPr>
        <w:t xml:space="preserve"> </w:t>
      </w:r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rif.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</w:t>
      </w:r>
      <w:r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g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82-83)</w:t>
      </w:r>
    </w:p>
    <w:p w14:paraId="519A5560" w14:textId="77777777" w:rsidR="00AF6C0A" w:rsidRPr="006A3C08" w:rsidRDefault="00AF6C0A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8"/>
          <w:szCs w:val="8"/>
          <w:lang w:eastAsia="it-IT"/>
        </w:rPr>
      </w:pPr>
    </w:p>
    <w:p w14:paraId="620ABBF5" w14:textId="52A30FF1" w:rsidR="002B3FCF" w:rsidRPr="006A3C08" w:rsidRDefault="002B3FCF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Nel taccuino: i benefici di un abbraccio</w:t>
      </w:r>
      <w:r w:rsidR="00AF6C0A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 </w:t>
      </w:r>
      <w:r w:rsidR="00AF6C0A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(pag. 82)</w:t>
      </w:r>
    </w:p>
    <w:p w14:paraId="22F47AC7" w14:textId="3EB6B5EA" w:rsidR="00F21DE0" w:rsidRPr="006A3C08" w:rsidRDefault="00E63FAC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Secondo recenti studi scientifici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gli abbracci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 soprattutto se della durata di almeno venti secondi,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hanno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un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straordinario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effetto terapeutico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sul corpo e su</w:t>
      </w:r>
      <w:r w:rsidR="00F21DE0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lla mente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</w:t>
      </w:r>
      <w:r w:rsidR="002B3FC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</w:p>
    <w:p w14:paraId="089B4CEA" w14:textId="22B9D8C7" w:rsidR="00E63FAC" w:rsidRPr="006A3C08" w:rsidRDefault="00F21DE0" w:rsidP="006A2C3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Colleghiamoci al link fornito dal</w:t>
      </w:r>
      <w:r w:rsidR="00E56A9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l’</w:t>
      </w:r>
      <w:r w:rsidR="005A62B4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anima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tore</w:t>
      </w:r>
      <w:r w:rsidR="006A2C39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del gruppo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: p</w:t>
      </w:r>
      <w:r w:rsidR="002B3FC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ensando alla propria esperienza personale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r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ispondi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amo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alle due domande d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el 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sondaggio, scegliendo fra i diversi benefici riconosciuti quello che senti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amo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più familiare, più vero, più 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nostro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. Dai risultati di chi ha risposto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al sondaggio 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prima di noi, possiamo </w:t>
      </w:r>
      <w:r w:rsidR="006A2C39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individuare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il beneficio più apprezzato.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ondividiamo la nostra esperienza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ed annotiamo sul taccuino alcuni episodi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della nostra vita in cui un abbraccio ricevuto oppure dato ha prodotto un effetto positivo sul nostro benessere psicofisico</w:t>
      </w:r>
      <w:r w:rsidR="00AF6C0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…poi </w:t>
      </w:r>
      <w:r w:rsidR="0093181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raccontiamo</w:t>
      </w:r>
      <w:r w:rsidR="00AF6C0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</w:t>
      </w:r>
    </w:p>
    <w:p w14:paraId="48E27563" w14:textId="77777777" w:rsidR="00E63FAC" w:rsidRPr="00813755" w:rsidRDefault="008163A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70C0"/>
          <w:sz w:val="24"/>
          <w:szCs w:val="24"/>
          <w:lang w:eastAsia="it-IT"/>
        </w:rPr>
      </w:pPr>
      <w:hyperlink r:id="rId4" w:tgtFrame="_blank" w:history="1">
        <w:r w:rsidR="00E63FAC" w:rsidRPr="00813755">
          <w:rPr>
            <w:rFonts w:ascii="Trebuchet MS" w:eastAsia="Times New Roman" w:hAnsi="Trebuchet MS" w:cs="Segoe UI"/>
            <w:color w:val="0070C0"/>
            <w:sz w:val="24"/>
            <w:szCs w:val="24"/>
            <w:u w:val="single"/>
            <w:lang w:eastAsia="it-IT"/>
          </w:rPr>
          <w:t>https://learningapps.org/display?v=p4wgf1g8k20</w:t>
        </w:r>
      </w:hyperlink>
    </w:p>
    <w:p w14:paraId="32BE42A3" w14:textId="2296B18A" w:rsidR="00E63FAC" w:rsidRPr="006A3C08" w:rsidRDefault="00E63FAC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0A25C251" w14:textId="566A5A90" w:rsidR="00451884" w:rsidRPr="006A3C08" w:rsidRDefault="00100E2B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Per un ulteriore approfondimento sul beneficio dell’abbraccio, possiamo collegarci al link fornito dall’animatore del gruppo, che presenta una parte della lezione su “La psicologia dell’abbraccio” della Prof.ssa Daniela Lucangeli.</w:t>
      </w:r>
    </w:p>
    <w:p w14:paraId="3C0E9A9A" w14:textId="3ABD495D" w:rsidR="00451884" w:rsidRPr="00813755" w:rsidRDefault="008163A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70C0"/>
          <w:sz w:val="24"/>
          <w:szCs w:val="24"/>
          <w:lang w:eastAsia="it-IT"/>
        </w:rPr>
      </w:pPr>
      <w:hyperlink r:id="rId5" w:history="1">
        <w:r w:rsidR="00451884" w:rsidRPr="00813755">
          <w:rPr>
            <w:rStyle w:val="Collegamentoipertestuale"/>
            <w:rFonts w:ascii="Trebuchet MS" w:hAnsi="Trebuchet MS"/>
            <w:color w:val="0070C0"/>
            <w:sz w:val="24"/>
            <w:szCs w:val="24"/>
          </w:rPr>
          <w:t>https://www.youtube.com/watch?v=0P_EkCQAy9M</w:t>
        </w:r>
      </w:hyperlink>
    </w:p>
    <w:p w14:paraId="2DC3FD43" w14:textId="77777777" w:rsidR="00100E2B" w:rsidRPr="006A3C08" w:rsidRDefault="00100E2B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480F41BA" w14:textId="38BFEFC2" w:rsidR="00E63FAC" w:rsidRPr="006A3C08" w:rsidRDefault="00931816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In gioco: la costruzione di un abbraccio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r w:rsid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</w:t>
      </w:r>
      <w:r w:rsidR="00E63FAC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ag. 82</w:t>
      </w:r>
      <w:proofErr w:type="gramStart"/>
      <w:r w:rsidR="00261EC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  <w:r w:rsidR="00261EC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261EC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sym w:font="Wingdings" w:char="F0E0"/>
      </w:r>
      <w:r w:rsidR="00261EC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AF6C0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n.b.</w:t>
      </w:r>
      <w:proofErr w:type="gramEnd"/>
      <w:r w:rsidR="00AF6C0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a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 posto d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“La d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anza degli abbracci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”</w:t>
      </w:r>
    </w:p>
    <w:p w14:paraId="0C596699" w14:textId="4D2C8365" w:rsidR="00E63FAC" w:rsidRPr="006A3C08" w:rsidRDefault="00931816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Viviamo in gruppo un’attività ludica, che ci faccia sperimentare “dal vivo” le emozioni legate all’abbraccio. 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Segui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amo le istruzioni del</w:t>
      </w:r>
      <w:r w:rsidR="00E56A9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l’anima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tore: “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Mettiti in piedi. Metti la mano destra sulla spalla sinistra. Ora metti la mano sinistra sulla spalla destra, poi stringi più forte che puoi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Questo è un abbraccio tutto per te. Adesso prendi un post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-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it e scrivi il nome di una persona di cui ricordi l'abbraccio in modo particolare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perché ti ha procurato una forte emozione. Attacca il post-it sul tuo avambraccio prima di eseguire nuovamente l'esercizio. Se non hai un post-it, puoi scrivere direttamente il suo nome sull'avambraccio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”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 Condividiamo le emozioni e raccontiamo l'episodio. Se riusciamo ascoltiamo le condivisioni manten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en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doci stretti nell'abbraccio. </w:t>
      </w:r>
    </w:p>
    <w:p w14:paraId="5CC1AFE1" w14:textId="77777777" w:rsidR="00E63FAC" w:rsidRPr="006A3C08" w:rsidRDefault="00E63FAC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0D8542B4" w14:textId="470B2661" w:rsidR="00E63FAC" w:rsidRPr="006A3C08" w:rsidRDefault="00FD2ACA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Memory</w:t>
      </w:r>
      <w:r w:rsidR="00E63FAC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: aforismi sugli abbracci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6A2C39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r w:rsid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</w:t>
      </w:r>
      <w:r w:rsidR="006A2C39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ag. 83</w:t>
      </w:r>
      <w:proofErr w:type="gramStart"/>
      <w:r w:rsidR="006A2C39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)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sym w:font="Wingdings" w:char="F0E0"/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n.b.</w:t>
      </w:r>
      <w:proofErr w:type="gramEnd"/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al posto di “Allo specchio: aforismi sugli abbracci”</w:t>
      </w:r>
    </w:p>
    <w:p w14:paraId="46DC8818" w14:textId="58A346F7" w:rsidR="00FD2ACA" w:rsidRPr="006A3C08" w:rsidRDefault="00FD2ACA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Cliccando sul link fornito dal</w:t>
      </w:r>
      <w:r w:rsidR="00E56A9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l’anima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tore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del gruppo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 i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n questo gioco trov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iamo otto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aforismi sull'abbraccio separati in due parti. Ricomponi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amo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le</w:t>
      </w:r>
      <w:r w:rsidR="006A2C39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="00E63FAC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come si fa con gli abbracci, congiungendo le due parti. Dopo aver riconosciuto tutti gli aforismi, scegliamone uno a testa e raccontiamo un episodio della nostra vita che vi si collega. </w:t>
      </w:r>
    </w:p>
    <w:p w14:paraId="185DD120" w14:textId="77777777" w:rsidR="00E63FAC" w:rsidRPr="006A3C08" w:rsidRDefault="008163A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hyperlink r:id="rId6" w:tgtFrame="_blank" w:history="1">
        <w:r w:rsidR="00E63FAC" w:rsidRPr="006A3C08">
          <w:rPr>
            <w:rFonts w:ascii="Trebuchet MS" w:eastAsia="Times New Roman" w:hAnsi="Trebuchet MS" w:cs="Segoe UI"/>
            <w:color w:val="3C61AA"/>
            <w:sz w:val="24"/>
            <w:szCs w:val="24"/>
            <w:u w:val="single"/>
            <w:lang w:eastAsia="it-IT"/>
          </w:rPr>
          <w:t>https://learningapps.org/watch?v=p0te9eunj20</w:t>
        </w:r>
      </w:hyperlink>
    </w:p>
    <w:p w14:paraId="622C8400" w14:textId="77777777" w:rsidR="00E63FAC" w:rsidRPr="006A3C08" w:rsidRDefault="00E63FAC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78348A7A" w14:textId="77777777" w:rsidR="006A2C39" w:rsidRPr="006A3C08" w:rsidRDefault="006A2C39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35CC7735" w14:textId="0270F30F" w:rsidR="00A74D02" w:rsidRDefault="006A3C08" w:rsidP="00A74D02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LA PAROLA ILLUMINA</w:t>
      </w:r>
      <w:r w:rsidR="00A74D02" w:rsidRPr="006A3C08">
        <w:rPr>
          <w:rFonts w:ascii="Trebuchet MS" w:eastAsia="Times New Roman" w:hAnsi="Trebuchet MS" w:cs="Segoe UI"/>
          <w:b/>
          <w:bCs/>
          <w:color w:val="000000"/>
          <w:sz w:val="20"/>
          <w:szCs w:val="20"/>
          <w:lang w:eastAsia="it-IT"/>
        </w:rPr>
        <w:t xml:space="preserve"> </w:t>
      </w:r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rif.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</w:t>
      </w:r>
      <w:r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g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84-90)</w:t>
      </w:r>
    </w:p>
    <w:p w14:paraId="3F0548C6" w14:textId="77777777" w:rsidR="00237B42" w:rsidRPr="00237B42" w:rsidRDefault="00237B42" w:rsidP="00A74D02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8"/>
          <w:szCs w:val="8"/>
          <w:lang w:eastAsia="it-IT"/>
        </w:rPr>
      </w:pPr>
    </w:p>
    <w:p w14:paraId="254D7E37" w14:textId="002F050C" w:rsidR="00C21EAE" w:rsidRPr="006A3C08" w:rsidRDefault="006A2C3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Da p</w:t>
      </w:r>
      <w:r w:rsidR="00C21EAE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ag. 84 fino a pag. 90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si segue il testo.</w:t>
      </w:r>
    </w:p>
    <w:p w14:paraId="26E14047" w14:textId="4431C83F" w:rsidR="00EE7478" w:rsidRPr="006A3C08" w:rsidRDefault="00EE7478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lastRenderedPageBreak/>
        <w:t>Per l’incon</w:t>
      </w:r>
      <w:r w:rsid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tro di gruppo on line si suggerisce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il video di commento al testo biblico</w:t>
      </w:r>
      <w:r w:rsid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di Mc </w:t>
      </w:r>
      <w:r w:rsidR="00EF6FA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15,21-37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 che si trova su</w:t>
      </w:r>
      <w:r w:rsid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 sito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materialiguide.azionecattolica.it</w:t>
      </w:r>
      <w:r w:rsid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.</w:t>
      </w:r>
    </w:p>
    <w:p w14:paraId="394B26AA" w14:textId="77777777" w:rsidR="006A2C39" w:rsidRPr="006A3C08" w:rsidRDefault="006A2C3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3A30F55C" w14:textId="77777777" w:rsidR="006A2C39" w:rsidRPr="006A3C08" w:rsidRDefault="006A2C39" w:rsidP="006A2C39">
      <w:pPr>
        <w:spacing w:after="0" w:line="240" w:lineRule="auto"/>
        <w:jc w:val="both"/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</w:pPr>
    </w:p>
    <w:p w14:paraId="147795E6" w14:textId="43328FCE" w:rsidR="00A74D02" w:rsidRDefault="006A3C08" w:rsidP="00A74D02">
      <w:pPr>
        <w:spacing w:after="0" w:line="240" w:lineRule="auto"/>
        <w:jc w:val="both"/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</w:pPr>
      <w:r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LA VITA CAMBIA</w:t>
      </w:r>
      <w:r w:rsidR="006A2C39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 xml:space="preserve"> </w:t>
      </w:r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(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rif.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 xml:space="preserve"> </w:t>
      </w:r>
      <w:proofErr w:type="spellStart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pag</w:t>
      </w:r>
      <w:r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g</w:t>
      </w:r>
      <w:proofErr w:type="spellEnd"/>
      <w:r w:rsidR="00A74D02" w:rsidRPr="006A3C08">
        <w:rPr>
          <w:rFonts w:ascii="Trebuchet MS" w:eastAsia="Times New Roman" w:hAnsi="Trebuchet MS" w:cs="Segoe UI"/>
          <w:i/>
          <w:color w:val="000000"/>
          <w:sz w:val="20"/>
          <w:szCs w:val="20"/>
          <w:lang w:eastAsia="it-IT"/>
        </w:rPr>
        <w:t>. 91-92)</w:t>
      </w:r>
    </w:p>
    <w:p w14:paraId="05C3AE4D" w14:textId="77777777" w:rsidR="006A3C08" w:rsidRPr="006A3C08" w:rsidRDefault="006A3C08" w:rsidP="00A74D02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8"/>
          <w:szCs w:val="8"/>
          <w:lang w:eastAsia="it-IT"/>
        </w:rPr>
      </w:pPr>
    </w:p>
    <w:p w14:paraId="76E33692" w14:textId="2B5B5197" w:rsidR="00EE7478" w:rsidRPr="006A3C08" w:rsidRDefault="00C21EAE" w:rsidP="00EE7478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Per ampliare l’incontro</w:t>
      </w:r>
      <w:r w:rsidR="006A2C39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di gruppo on line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rimand</w:t>
      </w:r>
      <w:r w:rsidR="00EE7478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</w:t>
      </w:r>
      <w:r w:rsidR="00EE7478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mo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ai </w:t>
      </w:r>
      <w:r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materiali</w:t>
      </w:r>
      <w:r w:rsidR="006A2C39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guide.azionecattolica.it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6A2C39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presenti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sul sito.</w:t>
      </w:r>
      <w:r w:rsidR="00EE7478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In particolare, suggeriamo il video che racconta l’esperienza dell’associazione “Agata-Volontari contro il cancro”, che si trova su </w:t>
      </w:r>
      <w:r w:rsidR="00EE7478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materialiguide.azionecattolica.it</w:t>
      </w:r>
      <w:r w:rsidR="00EE7478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presenti sul sito.</w:t>
      </w:r>
    </w:p>
    <w:p w14:paraId="7A8F881E" w14:textId="39C51A8C" w:rsidR="00C21EAE" w:rsidRPr="006A3C08" w:rsidRDefault="00C21EAE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In aggiunta agli </w:t>
      </w:r>
      <w:r w:rsidR="00A74D0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“</w:t>
      </w:r>
      <w:r w:rsidR="00A74D02" w:rsidRPr="006A3C08">
        <w:rPr>
          <w:rFonts w:ascii="Trebuchet MS" w:eastAsia="Times New Roman" w:hAnsi="Trebuchet MS" w:cs="Segoe UI"/>
          <w:b/>
          <w:bCs/>
          <w:i/>
          <w:iCs/>
          <w:color w:val="000000"/>
          <w:sz w:val="24"/>
          <w:szCs w:val="24"/>
          <w:lang w:eastAsia="it-IT"/>
        </w:rPr>
        <w:t>A</w:t>
      </w:r>
      <w:r w:rsidRPr="006A3C08">
        <w:rPr>
          <w:rFonts w:ascii="Trebuchet MS" w:eastAsia="Times New Roman" w:hAnsi="Trebuchet MS" w:cs="Segoe UI"/>
          <w:b/>
          <w:bCs/>
          <w:i/>
          <w:iCs/>
          <w:color w:val="000000"/>
          <w:sz w:val="24"/>
          <w:szCs w:val="24"/>
          <w:lang w:eastAsia="it-IT"/>
        </w:rPr>
        <w:t xml:space="preserve">ltri </w:t>
      </w:r>
      <w:r w:rsidR="00A74D02" w:rsidRPr="006A3C08">
        <w:rPr>
          <w:rFonts w:ascii="Trebuchet MS" w:eastAsia="Times New Roman" w:hAnsi="Trebuchet MS" w:cs="Segoe UI"/>
          <w:b/>
          <w:bCs/>
          <w:i/>
          <w:iCs/>
          <w:color w:val="000000"/>
          <w:sz w:val="24"/>
          <w:szCs w:val="24"/>
          <w:lang w:eastAsia="it-IT"/>
        </w:rPr>
        <w:t>r</w:t>
      </w:r>
      <w:r w:rsidRPr="006A3C08">
        <w:rPr>
          <w:rFonts w:ascii="Trebuchet MS" w:eastAsia="Times New Roman" w:hAnsi="Trebuchet MS" w:cs="Segoe UI"/>
          <w:b/>
          <w:bCs/>
          <w:i/>
          <w:iCs/>
          <w:color w:val="000000"/>
          <w:sz w:val="24"/>
          <w:szCs w:val="24"/>
          <w:lang w:eastAsia="it-IT"/>
        </w:rPr>
        <w:t>iflessi della cultura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”</w:t>
      </w:r>
      <w:r w:rsidR="00613731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(pag. 92)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per presentare il quadro di </w:t>
      </w:r>
      <w:r w:rsidR="00A74D0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G.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Klimt</w:t>
      </w:r>
      <w:r w:rsidR="00A74D0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, </w:t>
      </w:r>
      <w:r w:rsidR="00A74D02" w:rsidRPr="006A3C08">
        <w:rPr>
          <w:rFonts w:ascii="Trebuchet MS" w:eastAsia="Times New Roman" w:hAnsi="Trebuchet MS" w:cs="Segoe UI"/>
          <w:i/>
          <w:iCs/>
          <w:color w:val="000000"/>
          <w:sz w:val="24"/>
          <w:szCs w:val="24"/>
          <w:lang w:eastAsia="it-IT"/>
        </w:rPr>
        <w:t>L’abbraccio</w:t>
      </w:r>
      <w:r w:rsidR="00A74D02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,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della sezione Arte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possiamo usare 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il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link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fornito dal</w:t>
      </w:r>
      <w:r w:rsidR="00EE7478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l’anim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atore del gruppo,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che presenta a</w:t>
      </w:r>
      <w:r w:rsidR="00DF071F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cune citazioni bibliche sull’abbraccio, attraverso le quali si svela il quadro.</w:t>
      </w:r>
    </w:p>
    <w:p w14:paraId="630598CA" w14:textId="77777777" w:rsidR="00E63FAC" w:rsidRPr="006A3C08" w:rsidRDefault="008163A9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hyperlink r:id="rId7" w:tgtFrame="_blank" w:history="1">
        <w:r w:rsidR="00E63FAC" w:rsidRPr="006A3C08">
          <w:rPr>
            <w:rFonts w:ascii="Trebuchet MS" w:eastAsia="Times New Roman" w:hAnsi="Trebuchet MS" w:cs="Segoe UI"/>
            <w:color w:val="3C61AA"/>
            <w:sz w:val="24"/>
            <w:szCs w:val="24"/>
            <w:u w:val="single"/>
            <w:lang w:eastAsia="it-IT"/>
          </w:rPr>
          <w:t>https://learningapps.org/watch?v=p1ku0bw6320</w:t>
        </w:r>
      </w:hyperlink>
    </w:p>
    <w:p w14:paraId="68C364A2" w14:textId="77777777" w:rsidR="00E63FAC" w:rsidRPr="006A3C08" w:rsidRDefault="00E63FAC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</w:p>
    <w:p w14:paraId="0E8856DF" w14:textId="77777777" w:rsidR="00EF6FA5" w:rsidRPr="006A3C08" w:rsidRDefault="00EF6FA5" w:rsidP="006A2C39">
      <w:pPr>
        <w:jc w:val="both"/>
        <w:rPr>
          <w:rFonts w:ascii="Trebuchet MS" w:hAnsi="Trebuchet MS"/>
          <w:b/>
          <w:bCs/>
          <w:sz w:val="24"/>
          <w:szCs w:val="24"/>
        </w:rPr>
      </w:pPr>
    </w:p>
    <w:p w14:paraId="5514748D" w14:textId="05D31990" w:rsidR="00FD2ACA" w:rsidRPr="006A3C08" w:rsidRDefault="00FD2ACA" w:rsidP="006A2C39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6A3C08">
        <w:rPr>
          <w:rFonts w:ascii="Trebuchet MS" w:hAnsi="Trebuchet MS"/>
          <w:b/>
          <w:bCs/>
          <w:sz w:val="24"/>
          <w:szCs w:val="24"/>
        </w:rPr>
        <w:t xml:space="preserve">Note per </w:t>
      </w:r>
      <w:r w:rsidR="00E56A95" w:rsidRPr="006A3C08">
        <w:rPr>
          <w:rFonts w:ascii="Trebuchet MS" w:hAnsi="Trebuchet MS"/>
          <w:b/>
          <w:bCs/>
          <w:sz w:val="24"/>
          <w:szCs w:val="24"/>
        </w:rPr>
        <w:t>l’anim</w:t>
      </w:r>
      <w:r w:rsidRPr="006A3C08">
        <w:rPr>
          <w:rFonts w:ascii="Trebuchet MS" w:hAnsi="Trebuchet MS"/>
          <w:b/>
          <w:bCs/>
          <w:sz w:val="24"/>
          <w:szCs w:val="24"/>
        </w:rPr>
        <w:t>atore del gruppo:</w:t>
      </w:r>
    </w:p>
    <w:p w14:paraId="4D5EF00F" w14:textId="1194B23C" w:rsidR="00FD2ACA" w:rsidRPr="006A3C08" w:rsidRDefault="00F26685" w:rsidP="006A2C39">
      <w:pPr>
        <w:spacing w:after="0" w:line="240" w:lineRule="auto"/>
        <w:jc w:val="both"/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</w:pP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In riferimento al </w:t>
      </w:r>
      <w:r w:rsidR="00FD2ACA" w:rsidRPr="006A3C08">
        <w:rPr>
          <w:rFonts w:ascii="Trebuchet MS" w:eastAsia="Times New Roman" w:hAnsi="Trebuchet MS" w:cs="Segoe UI"/>
          <w:b/>
          <w:bCs/>
          <w:color w:val="000000"/>
          <w:sz w:val="24"/>
          <w:szCs w:val="24"/>
          <w:lang w:eastAsia="it-IT"/>
        </w:rPr>
        <w:t>Memory: aforismi sugli abbracci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di pag. 83: 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l’attività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può essere 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svolta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singolarmente 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da ciascun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comp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o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nente del gruppo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,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condividendo il link, oppure a squadre</w:t>
      </w:r>
      <w:r w:rsidR="00DE2B76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. 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S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e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si opta per l’attività a squadre,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il coordinatore dell'incontro condivide lo schermo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ed 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ap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re l’attività.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>I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partecipanti vengono divisi in due squadre guidate da un capo-squadra.</w:t>
      </w:r>
      <w:r w:rsidR="00C449C5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 T</w:t>
      </w:r>
      <w:r w:rsidR="00FD2ACA" w:rsidRPr="006A3C08">
        <w:rPr>
          <w:rFonts w:ascii="Trebuchet MS" w:eastAsia="Times New Roman" w:hAnsi="Trebuchet MS" w:cs="Segoe UI"/>
          <w:color w:val="000000"/>
          <w:sz w:val="24"/>
          <w:szCs w:val="24"/>
          <w:lang w:eastAsia="it-IT"/>
        </w:rPr>
        <w:t xml:space="preserve">utti i membri della squadra possono consultarsi a voce alta, poi il capo-squadra indicherà la scelta del gruppo. </w:t>
      </w:r>
    </w:p>
    <w:p w14:paraId="784D6D16" w14:textId="7C7982A6" w:rsidR="00FD2ACA" w:rsidRPr="006A3C08" w:rsidRDefault="00FD2ACA" w:rsidP="006A2C39">
      <w:pPr>
        <w:jc w:val="both"/>
        <w:rPr>
          <w:rFonts w:ascii="Trebuchet MS" w:hAnsi="Trebuchet MS"/>
          <w:sz w:val="24"/>
          <w:szCs w:val="24"/>
        </w:rPr>
      </w:pPr>
    </w:p>
    <w:p w14:paraId="36A4780E" w14:textId="5E9E7C64" w:rsidR="00C449C5" w:rsidRPr="006A3C08" w:rsidRDefault="00C449C5" w:rsidP="006A2C39">
      <w:pPr>
        <w:jc w:val="both"/>
        <w:rPr>
          <w:rFonts w:ascii="Trebuchet MS" w:hAnsi="Trebuchet MS"/>
          <w:sz w:val="24"/>
          <w:szCs w:val="24"/>
        </w:rPr>
      </w:pPr>
    </w:p>
    <w:p w14:paraId="0116E7DE" w14:textId="66C9D376" w:rsidR="00C449C5" w:rsidRPr="006A3C08" w:rsidRDefault="00C449C5" w:rsidP="006A2C39">
      <w:pPr>
        <w:jc w:val="both"/>
        <w:rPr>
          <w:rFonts w:ascii="Trebuchet MS" w:hAnsi="Trebuchet MS"/>
          <w:color w:val="FF0000"/>
          <w:sz w:val="24"/>
          <w:szCs w:val="24"/>
        </w:rPr>
      </w:pPr>
    </w:p>
    <w:p w14:paraId="67C24F53" w14:textId="77777777" w:rsidR="00C449C5" w:rsidRPr="006A3C08" w:rsidRDefault="00C449C5" w:rsidP="006A2C39">
      <w:pPr>
        <w:jc w:val="both"/>
        <w:rPr>
          <w:rFonts w:ascii="Trebuchet MS" w:hAnsi="Trebuchet MS"/>
          <w:color w:val="FF0000"/>
          <w:sz w:val="24"/>
          <w:szCs w:val="24"/>
        </w:rPr>
      </w:pPr>
    </w:p>
    <w:sectPr w:rsidR="00C449C5" w:rsidRPr="006A3C08" w:rsidSect="00C2247E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B"/>
    <w:rsid w:val="00100E2B"/>
    <w:rsid w:val="0016471D"/>
    <w:rsid w:val="00237B42"/>
    <w:rsid w:val="00261EC2"/>
    <w:rsid w:val="002B3FCF"/>
    <w:rsid w:val="002C67EE"/>
    <w:rsid w:val="00451884"/>
    <w:rsid w:val="005A62B4"/>
    <w:rsid w:val="00613731"/>
    <w:rsid w:val="006A2C39"/>
    <w:rsid w:val="006A3C08"/>
    <w:rsid w:val="00813755"/>
    <w:rsid w:val="008163A9"/>
    <w:rsid w:val="0082768B"/>
    <w:rsid w:val="008403BD"/>
    <w:rsid w:val="008E2F7B"/>
    <w:rsid w:val="00931816"/>
    <w:rsid w:val="009571CC"/>
    <w:rsid w:val="00A74D02"/>
    <w:rsid w:val="00A83BA0"/>
    <w:rsid w:val="00AF6C0A"/>
    <w:rsid w:val="00C03D5D"/>
    <w:rsid w:val="00C21EAE"/>
    <w:rsid w:val="00C2247E"/>
    <w:rsid w:val="00C449C5"/>
    <w:rsid w:val="00CE77B5"/>
    <w:rsid w:val="00DE2B76"/>
    <w:rsid w:val="00DF071F"/>
    <w:rsid w:val="00E56A95"/>
    <w:rsid w:val="00E63FAC"/>
    <w:rsid w:val="00E816D6"/>
    <w:rsid w:val="00EE7478"/>
    <w:rsid w:val="00EF6FA5"/>
    <w:rsid w:val="00F0358A"/>
    <w:rsid w:val="00F21DE0"/>
    <w:rsid w:val="00F26685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F81"/>
  <w15:docId w15:val="{6298CD2A-CF2F-416D-A8E3-59CDF4CB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63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1ku0bw63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0te9eunj20" TargetMode="External"/><Relationship Id="rId5" Type="http://schemas.openxmlformats.org/officeDocument/2006/relationships/hyperlink" Target="https://www.youtube.com/watch?v=0P_EkCQAy9M" TargetMode="External"/><Relationship Id="rId4" Type="http://schemas.openxmlformats.org/officeDocument/2006/relationships/hyperlink" Target="https://learningapps.org/display?v=p4wgf1g8k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CARLESSO</dc:creator>
  <cp:keywords/>
  <dc:description/>
  <cp:lastModifiedBy>Lorenzo Di Renzo</cp:lastModifiedBy>
  <cp:revision>4</cp:revision>
  <cp:lastPrinted>2020-09-11T10:17:00Z</cp:lastPrinted>
  <dcterms:created xsi:type="dcterms:W3CDTF">2020-09-11T11:29:00Z</dcterms:created>
  <dcterms:modified xsi:type="dcterms:W3CDTF">2020-09-11T11:33:00Z</dcterms:modified>
</cp:coreProperties>
</file>